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14" w:rsidRDefault="00FE3F14"/>
    <w:p w:rsidR="00F175E4" w:rsidRDefault="00F175E4"/>
    <w:p w:rsidR="00D858B6" w:rsidRDefault="00D858B6"/>
    <w:p w:rsidR="006C74B5" w:rsidRDefault="006C74B5" w:rsidP="00D858B6">
      <w:pPr>
        <w:spacing w:after="0" w:line="240" w:lineRule="auto"/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</w:pPr>
    </w:p>
    <w:p w:rsidR="0008491B" w:rsidRDefault="0008491B" w:rsidP="00D858B6">
      <w:pPr>
        <w:spacing w:after="0" w:line="240" w:lineRule="auto"/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</w:pPr>
    </w:p>
    <w:p w:rsidR="00D858B6" w:rsidRDefault="00D858B6" w:rsidP="00D858B6">
      <w:pPr>
        <w:spacing w:after="0" w:line="240" w:lineRule="auto"/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</w:pPr>
      <w:r w:rsidRPr="00BC5C1B"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  <w:t>SUMMARY NATIONAL REPORTS WP7</w:t>
      </w:r>
      <w:r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  <w:t>: N</w:t>
      </w:r>
      <w:r w:rsidRPr="00BC5C1B">
        <w:rPr>
          <w:rFonts w:ascii="Calibri" w:eastAsia="Times New Roman" w:hAnsi="Calibri" w:cs="Times New Roman"/>
          <w:b/>
          <w:bCs/>
          <w:color w:val="4472C4" w:themeColor="accent1"/>
          <w:sz w:val="32"/>
          <w:szCs w:val="32"/>
          <w:lang w:val="en-US" w:eastAsia="es-ES"/>
        </w:rPr>
        <w:t>ATIONAL SEMINARS</w:t>
      </w:r>
    </w:p>
    <w:p w:rsidR="00D858B6" w:rsidRPr="00D858B6" w:rsidRDefault="00D858B6">
      <w:pPr>
        <w:rPr>
          <w:lang w:val="en-US"/>
        </w:rPr>
      </w:pPr>
    </w:p>
    <w:p w:rsidR="006C74B5" w:rsidRDefault="006C74B5" w:rsidP="00D858B6">
      <w:pPr>
        <w:autoSpaceDE w:val="0"/>
        <w:autoSpaceDN w:val="0"/>
        <w:adjustRightInd w:val="0"/>
        <w:spacing w:line="240" w:lineRule="auto"/>
        <w:jc w:val="both"/>
        <w:rPr>
          <w:lang w:val="en-GB"/>
        </w:rPr>
      </w:pPr>
    </w:p>
    <w:p w:rsidR="00D858B6" w:rsidRDefault="00D858B6" w:rsidP="00D858B6">
      <w:pPr>
        <w:autoSpaceDE w:val="0"/>
        <w:autoSpaceDN w:val="0"/>
        <w:adjustRightInd w:val="0"/>
        <w:spacing w:line="240" w:lineRule="auto"/>
        <w:jc w:val="both"/>
        <w:rPr>
          <w:lang w:val="en-GB"/>
        </w:rPr>
      </w:pPr>
      <w:r w:rsidRPr="00D858B6">
        <w:rPr>
          <w:lang w:val="en-GB"/>
        </w:rPr>
        <w:t>After collecting</w:t>
      </w:r>
      <w:r w:rsidR="00982CEB">
        <w:rPr>
          <w:lang w:val="en-GB"/>
        </w:rPr>
        <w:t xml:space="preserve"> the </w:t>
      </w:r>
      <w:r w:rsidRPr="00D858B6">
        <w:rPr>
          <w:lang w:val="en-GB"/>
        </w:rPr>
        <w:t xml:space="preserve">information of </w:t>
      </w:r>
      <w:r w:rsidR="00982CEB">
        <w:rPr>
          <w:lang w:val="en-GB"/>
        </w:rPr>
        <w:t xml:space="preserve">the surveys for the 2018 </w:t>
      </w:r>
      <w:r w:rsidRPr="00D858B6">
        <w:rPr>
          <w:lang w:val="en-GB"/>
        </w:rPr>
        <w:t xml:space="preserve">National Seminars,  </w:t>
      </w:r>
      <w:r w:rsidR="00982CEB">
        <w:rPr>
          <w:lang w:val="en-GB"/>
        </w:rPr>
        <w:t xml:space="preserve"> it is </w:t>
      </w:r>
      <w:r w:rsidRPr="00D858B6">
        <w:rPr>
          <w:lang w:val="en-GB"/>
        </w:rPr>
        <w:t>suggest</w:t>
      </w:r>
      <w:r w:rsidR="00982CEB">
        <w:rPr>
          <w:lang w:val="en-GB"/>
        </w:rPr>
        <w:t>ed</w:t>
      </w:r>
      <w:r w:rsidRPr="00D858B6">
        <w:rPr>
          <w:lang w:val="en-GB"/>
        </w:rPr>
        <w:t xml:space="preserve"> that all</w:t>
      </w:r>
      <w:r w:rsidR="00982CEB">
        <w:rPr>
          <w:lang w:val="en-GB"/>
        </w:rPr>
        <w:t xml:space="preserve"> </w:t>
      </w:r>
      <w:r w:rsidRPr="00D858B6">
        <w:rPr>
          <w:lang w:val="en-GB"/>
        </w:rPr>
        <w:t xml:space="preserve">participants should be encouraged </w:t>
      </w:r>
      <w:r>
        <w:rPr>
          <w:lang w:val="en-GB"/>
        </w:rPr>
        <w:t>(</w:t>
      </w:r>
      <w:r w:rsidRPr="00D858B6">
        <w:rPr>
          <w:lang w:val="en-GB"/>
        </w:rPr>
        <w:t>by organizing entity</w:t>
      </w:r>
      <w:r>
        <w:rPr>
          <w:lang w:val="en-GB"/>
        </w:rPr>
        <w:t>)</w:t>
      </w:r>
      <w:r w:rsidRPr="00D858B6">
        <w:rPr>
          <w:lang w:val="en-GB"/>
        </w:rPr>
        <w:t xml:space="preserve"> to </w:t>
      </w:r>
      <w:r w:rsidR="00982CEB" w:rsidRPr="00D858B6">
        <w:rPr>
          <w:lang w:val="en-GB"/>
        </w:rPr>
        <w:t>fulfil</w:t>
      </w:r>
      <w:r w:rsidR="00982CEB">
        <w:rPr>
          <w:lang w:val="en-GB"/>
        </w:rPr>
        <w:t xml:space="preserve"> the evaluation questionnaire during the</w:t>
      </w:r>
      <w:r w:rsidRPr="0008491B">
        <w:rPr>
          <w:u w:val="single"/>
          <w:lang w:val="en-GB"/>
        </w:rPr>
        <w:t xml:space="preserve"> National Seminar</w:t>
      </w:r>
      <w:r w:rsidR="00982CEB">
        <w:rPr>
          <w:u w:val="single"/>
          <w:lang w:val="en-GB"/>
        </w:rPr>
        <w:t xml:space="preserve"> activity</w:t>
      </w:r>
      <w:r w:rsidRPr="00D858B6">
        <w:rPr>
          <w:lang w:val="en-GB"/>
        </w:rPr>
        <w:t xml:space="preserve"> (last action of National Seminar)</w:t>
      </w:r>
      <w:r w:rsidR="00982CEB">
        <w:rPr>
          <w:lang w:val="en-GB"/>
        </w:rPr>
        <w:t xml:space="preserve">, and should appear as such in the program, in order to obtain an acceptable number </w:t>
      </w:r>
      <w:r w:rsidRPr="00D858B6">
        <w:rPr>
          <w:lang w:val="en-GB"/>
        </w:rPr>
        <w:t>of answers, suggestions and</w:t>
      </w:r>
      <w:r w:rsidRPr="00D858B6">
        <w:rPr>
          <w:lang w:val="en-US"/>
        </w:rPr>
        <w:t xml:space="preserve"> </w:t>
      </w:r>
      <w:r w:rsidRPr="00D858B6">
        <w:rPr>
          <w:lang w:val="en-GB"/>
        </w:rPr>
        <w:t xml:space="preserve">policy recommendations. </w:t>
      </w:r>
    </w:p>
    <w:p w:rsidR="00D858B6" w:rsidRPr="00D858B6" w:rsidRDefault="00D858B6" w:rsidP="00D858B6">
      <w:pPr>
        <w:autoSpaceDE w:val="0"/>
        <w:autoSpaceDN w:val="0"/>
        <w:adjustRightInd w:val="0"/>
        <w:spacing w:line="240" w:lineRule="auto"/>
        <w:jc w:val="both"/>
        <w:rPr>
          <w:lang w:val="en-GB"/>
        </w:rPr>
      </w:pPr>
      <w:r>
        <w:rPr>
          <w:lang w:val="en-GB"/>
        </w:rPr>
        <w:t>Besides, a</w:t>
      </w:r>
      <w:r w:rsidRPr="00D858B6">
        <w:rPr>
          <w:lang w:val="en-GB"/>
        </w:rPr>
        <w:t xml:space="preserve">pproximately 1 week after </w:t>
      </w:r>
      <w:r w:rsidR="00982CEB">
        <w:rPr>
          <w:lang w:val="en-GB"/>
        </w:rPr>
        <w:t xml:space="preserve">the </w:t>
      </w:r>
      <w:r w:rsidRPr="00D858B6">
        <w:rPr>
          <w:lang w:val="en-GB"/>
        </w:rPr>
        <w:t xml:space="preserve">conclusion of the Seminar, it </w:t>
      </w:r>
      <w:r w:rsidR="0008491B">
        <w:rPr>
          <w:lang w:val="en-GB"/>
        </w:rPr>
        <w:t xml:space="preserve">would be </w:t>
      </w:r>
      <w:r w:rsidRPr="00D858B6">
        <w:rPr>
          <w:lang w:val="en-GB"/>
        </w:rPr>
        <w:t>compulsory to email</w:t>
      </w:r>
      <w:r w:rsidRPr="00D858B6">
        <w:rPr>
          <w:rFonts w:eastAsia="Calibri"/>
          <w:lang w:val="en-GB"/>
        </w:rPr>
        <w:t xml:space="preserve"> to all participants</w:t>
      </w:r>
      <w:r w:rsidR="00982CEB">
        <w:rPr>
          <w:rFonts w:eastAsia="Calibri"/>
          <w:lang w:val="en-GB"/>
        </w:rPr>
        <w:t xml:space="preserve"> the following</w:t>
      </w:r>
      <w:r>
        <w:rPr>
          <w:rFonts w:eastAsia="Calibri"/>
          <w:lang w:val="en-GB"/>
        </w:rPr>
        <w:t>:</w:t>
      </w:r>
    </w:p>
    <w:p w:rsidR="00D858B6" w:rsidRPr="00D858B6" w:rsidRDefault="00D858B6" w:rsidP="00D858B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en-GB"/>
        </w:rPr>
      </w:pPr>
      <w:r w:rsidRPr="00D858B6">
        <w:rPr>
          <w:rFonts w:eastAsia="Calibri"/>
          <w:b/>
          <w:lang w:val="en-GB"/>
        </w:rPr>
        <w:t>Letter of thanks</w:t>
      </w:r>
      <w:r w:rsidRPr="00D858B6">
        <w:rPr>
          <w:rFonts w:eastAsia="Calibri"/>
          <w:lang w:val="en-GB"/>
        </w:rPr>
        <w:t xml:space="preserve"> </w:t>
      </w:r>
    </w:p>
    <w:p w:rsidR="00D858B6" w:rsidRDefault="00D858B6" w:rsidP="00D858B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en-GB"/>
        </w:rPr>
      </w:pPr>
      <w:r w:rsidRPr="00D858B6">
        <w:rPr>
          <w:rFonts w:eastAsia="Calibri"/>
          <w:lang w:val="en-GB"/>
        </w:rPr>
        <w:t>A</w:t>
      </w:r>
      <w:r w:rsidRPr="00D858B6">
        <w:rPr>
          <w:rFonts w:eastAsia="Calibri"/>
          <w:b/>
          <w:lang w:val="en-GB"/>
        </w:rPr>
        <w:t xml:space="preserve"> REMINDER </w:t>
      </w:r>
      <w:r w:rsidRPr="00D858B6">
        <w:rPr>
          <w:rFonts w:eastAsia="Calibri"/>
          <w:lang w:val="en-GB"/>
        </w:rPr>
        <w:t xml:space="preserve">to be answered the </w:t>
      </w:r>
      <w:r w:rsidRPr="00D858B6">
        <w:rPr>
          <w:rFonts w:eastAsia="Calibri"/>
          <w:b/>
          <w:lang w:val="en-GB"/>
        </w:rPr>
        <w:t>evaluation questionnaire</w:t>
      </w:r>
      <w:r w:rsidRPr="00D858B6">
        <w:rPr>
          <w:rFonts w:eastAsia="Calibri"/>
          <w:lang w:val="en-GB"/>
        </w:rPr>
        <w:t xml:space="preserve"> in their national language in case it was not fulfilled </w:t>
      </w:r>
      <w:r>
        <w:rPr>
          <w:rFonts w:eastAsia="Calibri"/>
          <w:lang w:val="en-GB"/>
        </w:rPr>
        <w:t xml:space="preserve">by the participant </w:t>
      </w:r>
      <w:r w:rsidRPr="00D858B6">
        <w:rPr>
          <w:rFonts w:eastAsia="Calibri"/>
          <w:lang w:val="en-GB"/>
        </w:rPr>
        <w:t xml:space="preserve">during the Seminar. </w:t>
      </w:r>
    </w:p>
    <w:p w:rsidR="00982CEB" w:rsidRDefault="00982CEB" w:rsidP="00D858B6">
      <w:pPr>
        <w:spacing w:after="200" w:line="276" w:lineRule="auto"/>
        <w:contextualSpacing/>
        <w:jc w:val="both"/>
        <w:rPr>
          <w:lang w:val="en-GB"/>
        </w:rPr>
      </w:pPr>
    </w:p>
    <w:p w:rsidR="004720F7" w:rsidRDefault="00982CEB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 xml:space="preserve">This </w:t>
      </w:r>
      <w:r w:rsidR="00D858B6">
        <w:rPr>
          <w:lang w:val="en-GB"/>
        </w:rPr>
        <w:t xml:space="preserve">suggestion </w:t>
      </w:r>
      <w:r>
        <w:rPr>
          <w:lang w:val="en-GB"/>
        </w:rPr>
        <w:t>a</w:t>
      </w:r>
      <w:r w:rsidR="00D858B6">
        <w:rPr>
          <w:lang w:val="en-GB"/>
        </w:rPr>
        <w:t>i</w:t>
      </w:r>
      <w:r>
        <w:rPr>
          <w:lang w:val="en-GB"/>
        </w:rPr>
        <w:t>m</w:t>
      </w:r>
      <w:r w:rsidR="00D858B6">
        <w:rPr>
          <w:lang w:val="en-GB"/>
        </w:rPr>
        <w:t>s to solve</w:t>
      </w:r>
      <w:r w:rsidR="00E36D9E">
        <w:rPr>
          <w:lang w:val="en-GB"/>
        </w:rPr>
        <w:t xml:space="preserve"> the </w:t>
      </w:r>
      <w:r w:rsidR="00D858B6" w:rsidRPr="0008491B">
        <w:rPr>
          <w:b/>
          <w:lang w:val="en-GB"/>
        </w:rPr>
        <w:t xml:space="preserve">main </w:t>
      </w:r>
      <w:r w:rsidRPr="0008491B">
        <w:rPr>
          <w:b/>
          <w:lang w:val="en-GB"/>
        </w:rPr>
        <w:t xml:space="preserve">detected </w:t>
      </w:r>
      <w:r w:rsidR="00D858B6" w:rsidRPr="0008491B">
        <w:rPr>
          <w:b/>
          <w:lang w:val="en-GB"/>
        </w:rPr>
        <w:t>weakness</w:t>
      </w:r>
      <w:r w:rsidR="00E36D9E">
        <w:rPr>
          <w:lang w:val="en-GB"/>
        </w:rPr>
        <w:t>:</w:t>
      </w:r>
      <w:r w:rsidR="00D858B6">
        <w:rPr>
          <w:lang w:val="en-GB"/>
        </w:rPr>
        <w:t xml:space="preserve"> the </w:t>
      </w:r>
      <w:r>
        <w:rPr>
          <w:lang w:val="en-GB"/>
        </w:rPr>
        <w:t xml:space="preserve">low rates of participation </w:t>
      </w:r>
      <w:r w:rsidR="006C74B5">
        <w:rPr>
          <w:lang w:val="en-GB"/>
        </w:rPr>
        <w:t>to the evaluation questionnaire</w:t>
      </w:r>
      <w:r w:rsidR="004720F7">
        <w:rPr>
          <w:lang w:val="en-GB"/>
        </w:rPr>
        <w:t xml:space="preserve"> in National Seminars during 2018</w:t>
      </w:r>
      <w:r w:rsidR="00E36D9E">
        <w:rPr>
          <w:lang w:val="en-GB"/>
        </w:rPr>
        <w:t xml:space="preserve">. 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Slovenia: 28 out of</w:t>
      </w:r>
      <w:r w:rsidR="006C74B5">
        <w:rPr>
          <w:lang w:val="en-GB"/>
        </w:rPr>
        <w:t xml:space="preserve"> 80 (35%)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Spain: 12 out of 48 (25%).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Italy: 21 out of 65</w:t>
      </w:r>
      <w:r w:rsidR="006C74B5">
        <w:rPr>
          <w:lang w:val="en-GB"/>
        </w:rPr>
        <w:t xml:space="preserve"> (32%)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Macedonia: No data of percentage</w:t>
      </w:r>
      <w:r w:rsidR="006C74B5">
        <w:rPr>
          <w:lang w:val="en-GB"/>
        </w:rPr>
        <w:t>.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Turkey: 41 out of 122</w:t>
      </w:r>
      <w:r w:rsidR="006C74B5">
        <w:rPr>
          <w:lang w:val="en-GB"/>
        </w:rPr>
        <w:t xml:space="preserve"> (33%) </w:t>
      </w:r>
    </w:p>
    <w:p w:rsidR="004720F7" w:rsidRDefault="004720F7" w:rsidP="00D858B6">
      <w:pPr>
        <w:spacing w:after="200" w:line="276" w:lineRule="auto"/>
        <w:contextualSpacing/>
        <w:jc w:val="both"/>
        <w:rPr>
          <w:lang w:val="en-GB"/>
        </w:rPr>
      </w:pPr>
    </w:p>
    <w:p w:rsidR="006C74B5" w:rsidRDefault="00E36D9E" w:rsidP="006C74B5">
      <w:pPr>
        <w:spacing w:after="200" w:line="276" w:lineRule="auto"/>
        <w:contextualSpacing/>
        <w:jc w:val="both"/>
        <w:rPr>
          <w:lang w:val="en-GB"/>
        </w:rPr>
      </w:pPr>
      <w:r>
        <w:rPr>
          <w:lang w:val="en-GB"/>
        </w:rPr>
        <w:t>We need to focus on increasing the number of answer</w:t>
      </w:r>
      <w:r w:rsidR="0008491B">
        <w:rPr>
          <w:lang w:val="en-GB"/>
        </w:rPr>
        <w:t>s</w:t>
      </w:r>
      <w:r>
        <w:rPr>
          <w:lang w:val="en-GB"/>
        </w:rPr>
        <w:t xml:space="preserve"> in order to extract </w:t>
      </w:r>
      <w:r w:rsidR="00174680">
        <w:rPr>
          <w:lang w:val="en-GB"/>
        </w:rPr>
        <w:t xml:space="preserve">representative information and </w:t>
      </w:r>
      <w:r>
        <w:rPr>
          <w:lang w:val="en-GB"/>
        </w:rPr>
        <w:t>useful policy recommendations</w:t>
      </w:r>
      <w:r w:rsidR="006C74B5">
        <w:rPr>
          <w:lang w:val="en-GB"/>
        </w:rPr>
        <w:t xml:space="preserve">. For that University of Alicante proposes a new document about </w:t>
      </w:r>
      <w:r w:rsidR="006C74B5" w:rsidRPr="006C74B5">
        <w:rPr>
          <w:lang w:val="en-GB"/>
        </w:rPr>
        <w:t xml:space="preserve">METHODOLOGICAL - ORGANISATIONAL </w:t>
      </w:r>
      <w:proofErr w:type="gramStart"/>
      <w:r w:rsidR="006C74B5" w:rsidRPr="006C74B5">
        <w:rPr>
          <w:lang w:val="en-GB"/>
        </w:rPr>
        <w:t>GUIDELINESS</w:t>
      </w:r>
      <w:r w:rsidR="006C74B5">
        <w:rPr>
          <w:lang w:val="en-GB"/>
        </w:rPr>
        <w:t xml:space="preserve">  for</w:t>
      </w:r>
      <w:proofErr w:type="gramEnd"/>
      <w:r w:rsidR="006C74B5">
        <w:rPr>
          <w:lang w:val="en-GB"/>
        </w:rPr>
        <w:t xml:space="preserve"> W</w:t>
      </w:r>
      <w:r w:rsidR="006C74B5" w:rsidRPr="006C74B5">
        <w:rPr>
          <w:lang w:val="en-GB"/>
        </w:rPr>
        <w:t>P7</w:t>
      </w:r>
      <w:r w:rsidR="006C74B5">
        <w:rPr>
          <w:lang w:val="en-GB"/>
        </w:rPr>
        <w:t xml:space="preserve"> (</w:t>
      </w:r>
      <w:r w:rsidR="006C74B5" w:rsidRPr="006C74B5">
        <w:rPr>
          <w:lang w:val="en-GB"/>
        </w:rPr>
        <w:t>NATIONAL SEMINARS</w:t>
      </w:r>
      <w:r w:rsidR="006C74B5">
        <w:rPr>
          <w:lang w:val="en-GB"/>
        </w:rPr>
        <w:t>)</w:t>
      </w:r>
      <w:r w:rsidR="00174680">
        <w:rPr>
          <w:lang w:val="en-GB"/>
        </w:rPr>
        <w:t>.</w:t>
      </w:r>
    </w:p>
    <w:p w:rsidR="00142919" w:rsidRDefault="00142919" w:rsidP="006C74B5">
      <w:pPr>
        <w:spacing w:after="200" w:line="276" w:lineRule="auto"/>
        <w:contextualSpacing/>
        <w:jc w:val="both"/>
        <w:rPr>
          <w:lang w:val="en-GB"/>
        </w:rPr>
      </w:pPr>
    </w:p>
    <w:p w:rsidR="00142919" w:rsidRDefault="00142919" w:rsidP="006C74B5">
      <w:pPr>
        <w:spacing w:after="200" w:line="276" w:lineRule="auto"/>
        <w:contextualSpacing/>
        <w:jc w:val="both"/>
        <w:rPr>
          <w:lang w:val="en-GB"/>
        </w:rPr>
      </w:pPr>
    </w:p>
    <w:p w:rsidR="00142919" w:rsidRDefault="00142919" w:rsidP="006C74B5">
      <w:pPr>
        <w:spacing w:after="200" w:line="276" w:lineRule="auto"/>
        <w:contextualSpacing/>
        <w:jc w:val="both"/>
        <w:rPr>
          <w:lang w:val="en-GB"/>
        </w:rPr>
      </w:pPr>
    </w:p>
    <w:p w:rsidR="00142919" w:rsidRDefault="00142919" w:rsidP="006C74B5">
      <w:pPr>
        <w:spacing w:after="200" w:line="276" w:lineRule="auto"/>
        <w:contextualSpacing/>
        <w:jc w:val="both"/>
        <w:rPr>
          <w:lang w:val="en-GB"/>
        </w:rPr>
      </w:pPr>
    </w:p>
    <w:p w:rsidR="00142919" w:rsidRPr="006C74B5" w:rsidRDefault="00142919" w:rsidP="006C74B5">
      <w:pPr>
        <w:spacing w:after="200" w:line="276" w:lineRule="auto"/>
        <w:contextualSpacing/>
        <w:jc w:val="both"/>
        <w:rPr>
          <w:lang w:val="en-GB"/>
        </w:rPr>
      </w:pPr>
    </w:p>
    <w:p w:rsidR="006C74B5" w:rsidRPr="006C74B5" w:rsidRDefault="006C74B5" w:rsidP="006C74B5">
      <w:pPr>
        <w:spacing w:after="200" w:line="276" w:lineRule="auto"/>
        <w:contextualSpacing/>
        <w:jc w:val="both"/>
        <w:rPr>
          <w:lang w:val="en-GB"/>
        </w:rPr>
      </w:pPr>
    </w:p>
    <w:p w:rsidR="004720F7" w:rsidRPr="006C74B5" w:rsidRDefault="00982CEB" w:rsidP="00D858B6">
      <w:pPr>
        <w:spacing w:after="200" w:line="276" w:lineRule="auto"/>
        <w:contextualSpacing/>
        <w:jc w:val="both"/>
        <w:rPr>
          <w:rFonts w:eastAsia="Calibri"/>
          <w:lang w:val="en-GB"/>
        </w:rPr>
      </w:pPr>
      <w:r>
        <w:rPr>
          <w:rFonts w:eastAsia="Calibri"/>
          <w:b/>
          <w:bCs/>
          <w:lang w:val="en-US"/>
        </w:rPr>
        <w:t xml:space="preserve">DATA </w:t>
      </w:r>
      <w:r w:rsidR="006C74B5" w:rsidRPr="006C74B5">
        <w:rPr>
          <w:rFonts w:eastAsia="Calibri"/>
          <w:b/>
          <w:bCs/>
          <w:lang w:val="en-US"/>
        </w:rPr>
        <w:t xml:space="preserve">SUMMARY </w:t>
      </w:r>
      <w:r>
        <w:rPr>
          <w:rFonts w:eastAsia="Calibri"/>
          <w:b/>
          <w:bCs/>
          <w:lang w:val="en-US"/>
        </w:rPr>
        <w:t xml:space="preserve">OF WP 7 </w:t>
      </w:r>
      <w:r w:rsidR="006C74B5" w:rsidRPr="006C74B5">
        <w:rPr>
          <w:rFonts w:eastAsia="Calibri"/>
          <w:b/>
          <w:bCs/>
          <w:lang w:val="en-US"/>
        </w:rPr>
        <w:t>NATIONAL REPORTS</w:t>
      </w:r>
      <w:r w:rsidR="006C74B5" w:rsidRPr="006C74B5">
        <w:rPr>
          <w:rFonts w:eastAsia="Calibri"/>
          <w:bCs/>
          <w:lang w:val="en-GB"/>
        </w:rPr>
        <w:t xml:space="preserve">: 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850"/>
        <w:gridCol w:w="851"/>
        <w:gridCol w:w="1314"/>
        <w:gridCol w:w="954"/>
        <w:gridCol w:w="1061"/>
      </w:tblGrid>
      <w:tr w:rsidR="00F175E4" w:rsidRPr="00982CEB" w:rsidTr="00174680">
        <w:trPr>
          <w:trHeight w:val="57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E4D" w:rsidRPr="006C74B5" w:rsidRDefault="00F64E4D" w:rsidP="00D858B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GB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4"/>
                <w:szCs w:val="44"/>
                <w:lang w:val="en-U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F175E4" w:rsidRPr="00982CEB" w:rsidTr="00174680">
        <w:trPr>
          <w:trHeight w:val="288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64E4D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</w:tr>
      <w:tr w:rsidR="00174680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POLICY RECOMMENDATIONS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SPAIN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ind w:left="-70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ITALY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MACEDONIA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TURKEY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F175E4" w:rsidRPr="00BC5C1B" w:rsidRDefault="00BC5C1B" w:rsidP="00F175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</w:pPr>
            <w:r w:rsidRPr="00BC5C1B">
              <w:rPr>
                <w:rFonts w:ascii="Calibri" w:eastAsia="Times New Roman" w:hAnsi="Calibri" w:cs="Times New Roman"/>
                <w:b/>
                <w:bCs/>
                <w:color w:val="4472C4" w:themeColor="accent1"/>
                <w:lang w:eastAsia="es-ES"/>
              </w:rPr>
              <w:t>SLOVENIA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Training of professionals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Provision of human and material resources to involved public entities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To act and intervene at early ages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bookmarkStart w:id="0" w:name="_Hlk535843906"/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Create heterogeneous and interactive groups to strengthen concept of diversity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Teacher training with methodological guidelines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bookmarkStart w:id="1" w:name="_Hlk535843544"/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Share practical examples and good practices</w:t>
            </w:r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Different stakeholders involved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ind w:left="-1918" w:right="135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More discussions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Policy measures in line with needs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University Volunteering course included in curriculum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Reduce drop-out rate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Support for fostering volunteer work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Parents &amp; school colaborative work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√</w:t>
            </w:r>
          </w:p>
        </w:tc>
      </w:tr>
      <w:tr w:rsidR="00F175E4" w:rsidRPr="00F175E4" w:rsidTr="00174680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6C74B5" w:rsidRDefault="006C74B5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142919" w:rsidRDefault="00142919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142919" w:rsidRDefault="00142919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142919" w:rsidRDefault="00142919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142919" w:rsidRDefault="00142919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142919" w:rsidRDefault="00142919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6C74B5" w:rsidRDefault="006C74B5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  <w:p w:rsidR="006C74B5" w:rsidRPr="00F175E4" w:rsidRDefault="006C74B5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175E4" w:rsidRPr="00F175E4" w:rsidTr="00174680">
        <w:trPr>
          <w:trHeight w:val="516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lastRenderedPageBreak/>
              <w:t>Strengths</w:t>
            </w:r>
          </w:p>
          <w:p w:rsidR="006C74B5" w:rsidRPr="00F175E4" w:rsidRDefault="006C74B5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00000"/>
            <w:noWrap/>
            <w:vAlign w:val="bottom"/>
            <w:hideMark/>
          </w:tcPr>
          <w:p w:rsidR="00F175E4" w:rsidRDefault="00F175E4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Weaknesses</w:t>
            </w:r>
          </w:p>
          <w:p w:rsidR="006C74B5" w:rsidRPr="00F175E4" w:rsidRDefault="006C74B5" w:rsidP="00F1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6C74B5" w:rsidRDefault="006C74B5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bookmarkStart w:id="2" w:name="_Hlk535842572"/>
            <w:bookmarkStart w:id="3" w:name="_Hlk535842710"/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Good opportunities to express suggestions and opinions</w:t>
            </w:r>
            <w:bookmarkEnd w:id="2"/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Case Studies</w:t>
            </w:r>
          </w:p>
        </w:tc>
      </w:tr>
      <w:tr w:rsidR="00F175E4" w:rsidRPr="00F175E4" w:rsidTr="00174680">
        <w:trPr>
          <w:trHeight w:val="288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6C74B5" w:rsidRDefault="006C74B5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Good level of satisfaction with seminars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Practical cases</w:t>
            </w:r>
          </w:p>
        </w:tc>
      </w:tr>
      <w:bookmarkEnd w:id="3"/>
      <w:tr w:rsidR="00F175E4" w:rsidRPr="00982CEB" w:rsidTr="00174680">
        <w:trPr>
          <w:trHeight w:val="288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6C74B5" w:rsidRDefault="006C74B5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Good opportunity to exchange experiences with peers and </w:t>
            </w:r>
            <w:r w:rsidR="00982CEB"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colleagues</w:t>
            </w:r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.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bookmarkStart w:id="4" w:name="_Hlk535842861"/>
            <w:r w:rsidRPr="00F175E4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More opportunities for stakeholders discussion</w:t>
            </w:r>
            <w:bookmarkEnd w:id="4"/>
          </w:p>
        </w:tc>
      </w:tr>
      <w:tr w:rsidR="00174680" w:rsidRPr="00F175E4" w:rsidTr="00174680">
        <w:trPr>
          <w:trHeight w:val="288"/>
        </w:trPr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6C74B5" w:rsidRPr="00174680" w:rsidRDefault="006C74B5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</w:p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Theoretical needs were fulfilled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174680" w:rsidRPr="00F175E4" w:rsidTr="00174680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F175E4" w:rsidRPr="00F175E4" w:rsidRDefault="00F175E4" w:rsidP="00F17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75E4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</w:tbl>
    <w:p w:rsidR="00F175E4" w:rsidRDefault="00F175E4"/>
    <w:p w:rsidR="006C74B5" w:rsidRDefault="006C74B5"/>
    <w:p w:rsidR="00F175E4" w:rsidRDefault="00F175E4">
      <w:bookmarkStart w:id="5" w:name="_GoBack"/>
      <w:bookmarkEnd w:id="5"/>
    </w:p>
    <w:p w:rsidR="00F175E4" w:rsidRPr="00F175E4" w:rsidRDefault="00F175E4">
      <w:pPr>
        <w:rPr>
          <w:b/>
        </w:rPr>
      </w:pPr>
      <w:r w:rsidRPr="00F175E4">
        <w:rPr>
          <w:b/>
        </w:rPr>
        <w:t>POLICY RECOMMENDATIONS:</w:t>
      </w:r>
    </w:p>
    <w:p w:rsidR="00F175E4" w:rsidRDefault="00F175E4"/>
    <w:p w:rsidR="00F175E4" w:rsidRDefault="00F175E4">
      <w:r>
        <w:rPr>
          <w:noProof/>
          <w:lang w:val="sl-SI" w:eastAsia="sl-SI"/>
        </w:rPr>
        <w:drawing>
          <wp:inline distT="0" distB="0" distL="0" distR="0">
            <wp:extent cx="5562600" cy="32448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5E4" w:rsidRDefault="00F175E4"/>
    <w:sectPr w:rsidR="00F175E4" w:rsidSect="00F175E4">
      <w:head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D0F" w:rsidRDefault="00B83D0F" w:rsidP="00F64E4D">
      <w:pPr>
        <w:spacing w:after="0" w:line="240" w:lineRule="auto"/>
      </w:pPr>
      <w:r>
        <w:separator/>
      </w:r>
    </w:p>
  </w:endnote>
  <w:endnote w:type="continuationSeparator" w:id="0">
    <w:p w:rsidR="00B83D0F" w:rsidRDefault="00B83D0F" w:rsidP="00F64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D0F" w:rsidRDefault="00B83D0F" w:rsidP="00F64E4D">
      <w:pPr>
        <w:spacing w:after="0" w:line="240" w:lineRule="auto"/>
      </w:pPr>
      <w:r>
        <w:separator/>
      </w:r>
    </w:p>
  </w:footnote>
  <w:footnote w:type="continuationSeparator" w:id="0">
    <w:p w:rsidR="00B83D0F" w:rsidRDefault="00B83D0F" w:rsidP="00F64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99" w:rsidRDefault="00E16799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9D64B8F" wp14:editId="2D1D9361">
          <wp:simplePos x="0" y="0"/>
          <wp:positionH relativeFrom="margin">
            <wp:posOffset>-1104900</wp:posOffset>
          </wp:positionH>
          <wp:positionV relativeFrom="margin">
            <wp:posOffset>-812800</wp:posOffset>
          </wp:positionV>
          <wp:extent cx="7558405" cy="1213485"/>
          <wp:effectExtent l="0" t="0" r="0" b="0"/>
          <wp:wrapSquare wrapText="bothSides"/>
          <wp:docPr id="1" name="Slika 1" descr="rep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repo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653" b="84996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2E34"/>
    <w:multiLevelType w:val="hybridMultilevel"/>
    <w:tmpl w:val="73088BE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E4"/>
    <w:rsid w:val="0008491B"/>
    <w:rsid w:val="00106540"/>
    <w:rsid w:val="00142919"/>
    <w:rsid w:val="00174680"/>
    <w:rsid w:val="003E2BA3"/>
    <w:rsid w:val="004720F7"/>
    <w:rsid w:val="004E1CE6"/>
    <w:rsid w:val="006C74B5"/>
    <w:rsid w:val="008055C4"/>
    <w:rsid w:val="00937379"/>
    <w:rsid w:val="00982CEB"/>
    <w:rsid w:val="00B83D0F"/>
    <w:rsid w:val="00BC5C1B"/>
    <w:rsid w:val="00C13BD3"/>
    <w:rsid w:val="00D858B6"/>
    <w:rsid w:val="00E16799"/>
    <w:rsid w:val="00E36D9E"/>
    <w:rsid w:val="00F175E4"/>
    <w:rsid w:val="00F24E9A"/>
    <w:rsid w:val="00F64E4D"/>
    <w:rsid w:val="00FE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85"/>
  <w15:docId w15:val="{73D4E92E-4CFB-4060-A7F0-15989B0E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858B6"/>
    <w:pPr>
      <w:shd w:val="clear" w:color="auto" w:fill="FFFFFF"/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val="sl-SI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858B6"/>
    <w:rPr>
      <w:rFonts w:ascii="Arial" w:eastAsia="Times New Roman" w:hAnsi="Arial" w:cs="Arial"/>
      <w:color w:val="000000"/>
      <w:sz w:val="20"/>
      <w:szCs w:val="20"/>
      <w:shd w:val="clear" w:color="auto" w:fill="FFFFFF"/>
      <w:lang w:val="sl-SI"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D858B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82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82CEB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E167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16799"/>
  </w:style>
  <w:style w:type="paragraph" w:styleId="Noga">
    <w:name w:val="footer"/>
    <w:basedOn w:val="Navaden"/>
    <w:link w:val="NogaZnak"/>
    <w:uiPriority w:val="99"/>
    <w:unhideWhenUsed/>
    <w:rsid w:val="00E167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16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</dc:creator>
  <cp:keywords/>
  <dc:description/>
  <cp:lastModifiedBy>Windows User</cp:lastModifiedBy>
  <cp:revision>3</cp:revision>
  <dcterms:created xsi:type="dcterms:W3CDTF">2020-02-04T00:10:00Z</dcterms:created>
  <dcterms:modified xsi:type="dcterms:W3CDTF">2020-02-04T00:11:00Z</dcterms:modified>
</cp:coreProperties>
</file>